
<file path=[Content_Types].xml><?xml version="1.0" encoding="utf-8"?>
<Types xmlns="http://schemas.openxmlformats.org/package/2006/content-types">
  <Override PartName="/word/numbering.xml" ContentType="application/vnd.openxmlformats-officedocument.wordprocessingml.numbering+xml"/>
  <Override PartName="/docProps/core.xml" ContentType="application/vnd.openxmlformats-package.core-properties+xml"/>
  <Override PartName="/docProps/app.xml" ContentType="application/vnd.openxmlformats-officedocument.extended-properties+xml"/>
  <Default Extension="jpeg" ContentType="image/jpeg"/>
  <Default Extension="xml" ContentType="application/xml"/>
  <Default Extension="rels" ContentType="application/vnd.openxmlformats-package.relationships+xml"/>
  <Override PartName="/word/webSettings.xml" ContentType="application/vnd.openxmlformats-officedocument.wordprocessingml.webSettings+xml"/>
  <Override PartName="/word/theme/theme1.xml" ContentType="application/vnd.openxmlformats-officedocument.theme+xml"/>
  <Override PartName="/word/styles.xml" ContentType="application/vnd.openxmlformats-officedocument.wordprocessingml.styles+xml"/>
  <Override PartName="/word/settings.xml" ContentType="application/vnd.openxmlformats-officedocument.wordprocessingml.settings+xml"/>
  <Override PartName="/word/fontTable.xml" ContentType="application/vnd.openxmlformats-officedocument.wordprocessingml.fontTable+xml"/>
  <Override PartName="/word/document.xml" ContentType="application/vnd.openxmlformats-officedocument.wordprocessingml.document.main+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97237" w:rsidRPr="00897237" w:rsidRDefault="00897237" w:rsidP="00897237">
      <w:pPr>
        <w:spacing w:beforeLines="1" w:afterLines="1"/>
        <w:jc w:val="center"/>
        <w:outlineLvl w:val="0"/>
        <w:rPr>
          <w:rFonts w:ascii="Times" w:hAnsi="Times"/>
          <w:b/>
          <w:kern w:val="36"/>
          <w:sz w:val="48"/>
          <w:szCs w:val="20"/>
          <w:lang w:eastAsia="it-IT"/>
        </w:rPr>
      </w:pPr>
      <w:r w:rsidRPr="00897237">
        <w:rPr>
          <w:rFonts w:ascii="Times" w:hAnsi="Times"/>
          <w:b/>
          <w:kern w:val="36"/>
          <w:sz w:val="48"/>
          <w:szCs w:val="20"/>
          <w:lang w:eastAsia="it-IT"/>
        </w:rPr>
        <w:t>Articolo 656 Codice di procedura penale</w:t>
      </w:r>
    </w:p>
    <w:p w:rsidR="00897237" w:rsidRPr="00897237" w:rsidRDefault="00897237" w:rsidP="00897237">
      <w:pPr>
        <w:spacing w:beforeLines="1" w:afterLines="1"/>
        <w:jc w:val="center"/>
        <w:outlineLvl w:val="1"/>
        <w:rPr>
          <w:rFonts w:ascii="Times" w:hAnsi="Times"/>
          <w:b/>
          <w:sz w:val="36"/>
          <w:szCs w:val="20"/>
          <w:lang w:eastAsia="it-IT"/>
        </w:rPr>
      </w:pPr>
      <w:r w:rsidRPr="00897237">
        <w:rPr>
          <w:rFonts w:ascii="Times" w:hAnsi="Times"/>
          <w:b/>
          <w:sz w:val="36"/>
          <w:szCs w:val="20"/>
          <w:lang w:eastAsia="it-IT"/>
        </w:rPr>
        <w:t>(D.P.R. 22 settembre 1988, n. 447)</w:t>
      </w:r>
    </w:p>
    <w:p w:rsidR="00897237" w:rsidRPr="00897237" w:rsidRDefault="00897237" w:rsidP="00897237">
      <w:pPr>
        <w:jc w:val="center"/>
        <w:rPr>
          <w:rFonts w:ascii="Times" w:hAnsi="Times"/>
          <w:sz w:val="20"/>
          <w:szCs w:val="20"/>
          <w:lang w:eastAsia="it-IT"/>
        </w:rPr>
      </w:pPr>
      <w:r w:rsidRPr="00897237">
        <w:rPr>
          <w:rFonts w:ascii="Times" w:hAnsi="Times"/>
          <w:sz w:val="15"/>
          <w:szCs w:val="20"/>
          <w:lang w:eastAsia="it-IT"/>
        </w:rPr>
        <w:t>[Aggiornato al 07/01/2025]</w:t>
      </w:r>
    </w:p>
    <w:p w:rsidR="00897237" w:rsidRPr="00897237" w:rsidRDefault="00897237" w:rsidP="00897237">
      <w:pPr>
        <w:spacing w:beforeLines="1" w:afterLines="1"/>
        <w:jc w:val="center"/>
        <w:outlineLvl w:val="2"/>
        <w:rPr>
          <w:rFonts w:ascii="Times" w:hAnsi="Times"/>
          <w:b/>
          <w:sz w:val="27"/>
          <w:szCs w:val="20"/>
          <w:lang w:eastAsia="it-IT"/>
        </w:rPr>
      </w:pPr>
      <w:r w:rsidRPr="00897237">
        <w:rPr>
          <w:rFonts w:ascii="Times" w:hAnsi="Times"/>
          <w:b/>
          <w:sz w:val="27"/>
          <w:szCs w:val="20"/>
          <w:lang w:eastAsia="it-IT"/>
        </w:rPr>
        <w:t>Esecuzione delle pene detentive</w:t>
      </w:r>
    </w:p>
    <w:p w:rsidR="00F4158C" w:rsidRDefault="00F4158C" w:rsidP="00897237">
      <w:pPr>
        <w:jc w:val="center"/>
      </w:pPr>
    </w:p>
    <w:p w:rsidR="00F4158C" w:rsidRDefault="00F4158C" w:rsidP="00F4158C">
      <w:pPr>
        <w:jc w:val="center"/>
      </w:pP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1. Quando deve essere eseguita una </w:t>
      </w:r>
      <w:hyperlink r:id="rId5" w:history="1">
        <w:r w:rsidRPr="00897237">
          <w:rPr>
            <w:rFonts w:ascii="Times" w:hAnsi="Times" w:cs="Times New Roman"/>
            <w:color w:val="0000FF"/>
            <w:sz w:val="20"/>
            <w:szCs w:val="20"/>
            <w:u w:val="single"/>
            <w:lang w:eastAsia="it-IT"/>
          </w:rPr>
          <w:t>sentenza</w:t>
        </w:r>
      </w:hyperlink>
      <w:r w:rsidRPr="00897237">
        <w:rPr>
          <w:rFonts w:ascii="Times" w:hAnsi="Times" w:cs="Times New Roman"/>
          <w:sz w:val="20"/>
          <w:szCs w:val="20"/>
          <w:lang w:eastAsia="it-IT"/>
        </w:rPr>
        <w:t xml:space="preserve"> di condanna a </w:t>
      </w:r>
      <w:hyperlink r:id="rId6" w:history="1">
        <w:r w:rsidRPr="00897237">
          <w:rPr>
            <w:rFonts w:ascii="Times" w:hAnsi="Times" w:cs="Times New Roman"/>
            <w:color w:val="0000FF"/>
            <w:sz w:val="20"/>
            <w:szCs w:val="20"/>
            <w:u w:val="single"/>
            <w:lang w:eastAsia="it-IT"/>
          </w:rPr>
          <w:t>pena detentiva</w:t>
        </w:r>
      </w:hyperlink>
      <w:r w:rsidRPr="00897237">
        <w:rPr>
          <w:rFonts w:ascii="Times" w:hAnsi="Times" w:cs="Times New Roman"/>
          <w:sz w:val="20"/>
          <w:szCs w:val="20"/>
          <w:lang w:eastAsia="it-IT"/>
        </w:rPr>
        <w:t xml:space="preserve">, il </w:t>
      </w:r>
      <w:hyperlink r:id="rId7" w:history="1">
        <w:r w:rsidRPr="00897237">
          <w:rPr>
            <w:rFonts w:ascii="Times" w:hAnsi="Times" w:cs="Times New Roman"/>
            <w:color w:val="0000FF"/>
            <w:sz w:val="20"/>
            <w:szCs w:val="20"/>
            <w:u w:val="single"/>
            <w:lang w:eastAsia="it-IT"/>
          </w:rPr>
          <w:t>pubblico ministero</w:t>
        </w:r>
      </w:hyperlink>
      <w:r w:rsidRPr="00897237">
        <w:rPr>
          <w:rFonts w:ascii="Times" w:hAnsi="Times" w:cs="Times New Roman"/>
          <w:sz w:val="20"/>
          <w:szCs w:val="20"/>
          <w:lang w:eastAsia="it-IT"/>
        </w:rPr>
        <w:t xml:space="preserve"> emette ordine di esecuzione con il quale, se il condannato non è detenuto, ne dispone la carcerazione. Copia dell'ordine è consegnata all'interessato.</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2. Se il condannato è già detenuto, l'ordine di esecuzione è comunicato al Ministro di grazia e giustizia e notificato all'interessato.</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3. L'ordine di esecuzione contiene le generalità della persona nei cui confronti deve essere eseguito e quant'altro valga a identificarla, l'imputazione, il dispositivo del provvedimento e le disposizioni necessarie all'esecuzione nonché l’avviso al condannato che ha facoltà di accedere ai programmi di giustizia riparativa e che, se il processo si è svolto in sua assenza, nel termine di trenta giorni dalla conoscenza della sentenza può chiedere, in presenza dei relativi presupposti, la restituzione nel termine per proporre impugnazione o la rescissione del giudicato. L'ordine è notificato al difensore del condannato</w:t>
      </w:r>
      <w:hyperlink r:id="rId8" w:anchor="nota_26263" w:history="1">
        <w:r w:rsidRPr="00897237">
          <w:rPr>
            <w:rFonts w:ascii="Times" w:hAnsi="Times" w:cs="Times New Roman"/>
            <w:color w:val="0000FF"/>
            <w:sz w:val="20"/>
            <w:szCs w:val="20"/>
            <w:u w:val="single"/>
            <w:vertAlign w:val="superscript"/>
            <w:lang w:eastAsia="it-IT"/>
          </w:rPr>
          <w:t>(12)</w:t>
        </w:r>
      </w:hyperlink>
      <w:hyperlink r:id="rId9" w:anchor="nota_26521" w:history="1">
        <w:r w:rsidRPr="00897237">
          <w:rPr>
            <w:rFonts w:ascii="Times" w:hAnsi="Times" w:cs="Times New Roman"/>
            <w:color w:val="0000FF"/>
            <w:sz w:val="20"/>
            <w:szCs w:val="20"/>
            <w:u w:val="single"/>
            <w:vertAlign w:val="superscript"/>
            <w:lang w:eastAsia="it-IT"/>
          </w:rPr>
          <w:t>(14)</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3-bis. L'ordine di esecuzione della sentenza di condanna a pena detentiva nei confronti di madre di prole di minore età è comunicato al </w:t>
      </w:r>
      <w:hyperlink r:id="rId10" w:history="1">
        <w:r w:rsidRPr="00897237">
          <w:rPr>
            <w:rFonts w:ascii="Times" w:hAnsi="Times" w:cs="Times New Roman"/>
            <w:color w:val="0000FF"/>
            <w:sz w:val="20"/>
            <w:szCs w:val="20"/>
            <w:u w:val="single"/>
            <w:lang w:eastAsia="it-IT"/>
          </w:rPr>
          <w:t>procuratore della Repubblica</w:t>
        </w:r>
      </w:hyperlink>
      <w:r w:rsidRPr="00897237">
        <w:rPr>
          <w:rFonts w:ascii="Times" w:hAnsi="Times" w:cs="Times New Roman"/>
          <w:sz w:val="20"/>
          <w:szCs w:val="20"/>
          <w:lang w:eastAsia="it-IT"/>
        </w:rPr>
        <w:t xml:space="preserve"> presso il </w:t>
      </w:r>
      <w:hyperlink r:id="rId11" w:history="1">
        <w:r w:rsidRPr="00897237">
          <w:rPr>
            <w:rFonts w:ascii="Times" w:hAnsi="Times" w:cs="Times New Roman"/>
            <w:color w:val="0000FF"/>
            <w:sz w:val="20"/>
            <w:szCs w:val="20"/>
            <w:u w:val="single"/>
            <w:lang w:eastAsia="it-IT"/>
          </w:rPr>
          <w:t>tribunale per i minorenni</w:t>
        </w:r>
      </w:hyperlink>
      <w:r w:rsidRPr="00897237">
        <w:rPr>
          <w:rFonts w:ascii="Times" w:hAnsi="Times" w:cs="Times New Roman"/>
          <w:sz w:val="20"/>
          <w:szCs w:val="20"/>
          <w:lang w:eastAsia="it-IT"/>
        </w:rPr>
        <w:t xml:space="preserve"> del luogo di esecuzione della sentenza</w:t>
      </w:r>
      <w:hyperlink r:id="rId12" w:anchor="nota_20688" w:history="1">
        <w:r w:rsidRPr="00897237">
          <w:rPr>
            <w:rFonts w:ascii="Times" w:hAnsi="Times" w:cs="Times New Roman"/>
            <w:color w:val="0000FF"/>
            <w:sz w:val="20"/>
            <w:szCs w:val="20"/>
            <w:u w:val="single"/>
            <w:vertAlign w:val="superscript"/>
            <w:lang w:eastAsia="it-IT"/>
          </w:rPr>
          <w:t>(1)</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4. L'ordine che dispone la carcerazione è eseguito secondo le modalità previste dall'articolo </w:t>
      </w:r>
      <w:hyperlink r:id="rId13" w:history="1">
        <w:r w:rsidRPr="00897237">
          <w:rPr>
            <w:rFonts w:ascii="Times" w:hAnsi="Times" w:cs="Times New Roman"/>
            <w:color w:val="0000FF"/>
            <w:sz w:val="20"/>
            <w:szCs w:val="20"/>
            <w:u w:val="single"/>
            <w:lang w:eastAsia="it-IT"/>
          </w:rPr>
          <w:t>277</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4-bis. Al di fuori dei casi previsti dal comma 9, lett. b), quando la residua pena da espiare, computando le detrazioni previste dall'articolo </w:t>
      </w:r>
      <w:hyperlink r:id="rId14" w:history="1">
        <w:r w:rsidRPr="00897237">
          <w:rPr>
            <w:rFonts w:ascii="Times" w:hAnsi="Times" w:cs="Times New Roman"/>
            <w:color w:val="0000FF"/>
            <w:sz w:val="20"/>
            <w:szCs w:val="20"/>
            <w:u w:val="single"/>
            <w:lang w:eastAsia="it-IT"/>
          </w:rPr>
          <w:t>54</w:t>
        </w:r>
      </w:hyperlink>
      <w:r w:rsidRPr="00897237">
        <w:rPr>
          <w:rFonts w:ascii="Times" w:hAnsi="Times" w:cs="Times New Roman"/>
          <w:sz w:val="20"/>
          <w:szCs w:val="20"/>
          <w:lang w:eastAsia="it-IT"/>
        </w:rPr>
        <w:t xml:space="preserve"> della legge 26 luglio 1975, n. 354, non supera i limiti indicati dal comma 5, il pubblico ministero, prima di emettere l'ordine di esecuzione, previa verifica dell'esistenza di periodi di </w:t>
      </w:r>
      <w:hyperlink r:id="rId15" w:history="1">
        <w:r w:rsidRPr="00897237">
          <w:rPr>
            <w:rFonts w:ascii="Times" w:hAnsi="Times" w:cs="Times New Roman"/>
            <w:color w:val="0000FF"/>
            <w:sz w:val="20"/>
            <w:szCs w:val="20"/>
            <w:u w:val="single"/>
            <w:lang w:eastAsia="it-IT"/>
          </w:rPr>
          <w:t>custodia cautelare</w:t>
        </w:r>
      </w:hyperlink>
      <w:r w:rsidRPr="00897237">
        <w:rPr>
          <w:rFonts w:ascii="Times" w:hAnsi="Times" w:cs="Times New Roman"/>
          <w:sz w:val="20"/>
          <w:szCs w:val="20"/>
          <w:lang w:eastAsia="it-IT"/>
        </w:rPr>
        <w:t xml:space="preserve"> o di pena dichiarata fungibile relativi al titolo esecutivo da eseguire, trasmette gli atti al magistrato di sorveglianza affinché provveda all'eventuale applicazione della liberazione anticipata. Il magistrato di sorveglianza provvede senza ritardo con ordinanza adottata ai sensi dell'articolo </w:t>
      </w:r>
      <w:hyperlink r:id="rId16" w:history="1">
        <w:r w:rsidRPr="00897237">
          <w:rPr>
            <w:rFonts w:ascii="Times" w:hAnsi="Times" w:cs="Times New Roman"/>
            <w:color w:val="0000FF"/>
            <w:sz w:val="20"/>
            <w:szCs w:val="20"/>
            <w:u w:val="single"/>
            <w:lang w:eastAsia="it-IT"/>
          </w:rPr>
          <w:t>69 bis</w:t>
        </w:r>
      </w:hyperlink>
      <w:r w:rsidRPr="00897237">
        <w:rPr>
          <w:rFonts w:ascii="Times" w:hAnsi="Times" w:cs="Times New Roman"/>
          <w:sz w:val="20"/>
          <w:szCs w:val="20"/>
          <w:lang w:eastAsia="it-IT"/>
        </w:rPr>
        <w:t xml:space="preserve"> della legge 26 luglio 1975, n. 354. La presente disposizione non si applica nei confronti dei condannati per i delitti di cui all'articolo </w:t>
      </w:r>
      <w:hyperlink r:id="rId17" w:history="1">
        <w:r w:rsidRPr="00897237">
          <w:rPr>
            <w:rFonts w:ascii="Times" w:hAnsi="Times" w:cs="Times New Roman"/>
            <w:color w:val="0000FF"/>
            <w:sz w:val="20"/>
            <w:szCs w:val="20"/>
            <w:u w:val="single"/>
            <w:lang w:eastAsia="it-IT"/>
          </w:rPr>
          <w:t>4 bis</w:t>
        </w:r>
      </w:hyperlink>
      <w:r w:rsidRPr="00897237">
        <w:rPr>
          <w:rFonts w:ascii="Times" w:hAnsi="Times" w:cs="Times New Roman"/>
          <w:sz w:val="20"/>
          <w:szCs w:val="20"/>
          <w:lang w:eastAsia="it-IT"/>
        </w:rPr>
        <w:t xml:space="preserve"> della legge 26 luglio 1975, n. 354</w:t>
      </w:r>
      <w:hyperlink r:id="rId18" w:anchor="nota_14847" w:history="1">
        <w:r w:rsidRPr="00897237">
          <w:rPr>
            <w:rFonts w:ascii="Times" w:hAnsi="Times" w:cs="Times New Roman"/>
            <w:color w:val="0000FF"/>
            <w:sz w:val="20"/>
            <w:szCs w:val="20"/>
            <w:u w:val="single"/>
            <w:vertAlign w:val="superscript"/>
            <w:lang w:eastAsia="it-IT"/>
          </w:rPr>
          <w:t>(2)</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4-ter. Quando il condannato si trova in stato di custodia cautelare in carcere il pubblico ministero emette l'ordine di esecuzione e, se ricorrono i presupposti di cui al comma 4-bis, trasmette senza ritardo gli atti al magistrato di sorveglianza per la decisione sulla liberazione anticipata</w:t>
      </w:r>
      <w:hyperlink r:id="rId19" w:anchor="nota_14847" w:history="1">
        <w:r w:rsidRPr="00897237">
          <w:rPr>
            <w:rFonts w:ascii="Times" w:hAnsi="Times" w:cs="Times New Roman"/>
            <w:color w:val="0000FF"/>
            <w:sz w:val="20"/>
            <w:szCs w:val="20"/>
            <w:u w:val="single"/>
            <w:vertAlign w:val="superscript"/>
            <w:lang w:eastAsia="it-IT"/>
          </w:rPr>
          <w:t>(2)</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4-quater. Nei casi previsti dal comma 4-bis, il pubblico ministero emette i provvedimenti previsti dai commi 1, 5 e 10 dopo la decisione del magistrato di sorveglianza</w:t>
      </w:r>
      <w:hyperlink r:id="rId20" w:anchor="nota_14844" w:history="1">
        <w:r w:rsidRPr="00897237">
          <w:rPr>
            <w:rFonts w:ascii="Times" w:hAnsi="Times" w:cs="Times New Roman"/>
            <w:color w:val="0000FF"/>
            <w:sz w:val="20"/>
            <w:szCs w:val="20"/>
            <w:u w:val="single"/>
            <w:vertAlign w:val="superscript"/>
            <w:lang w:eastAsia="it-IT"/>
          </w:rPr>
          <w:t>(3)</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5. Se la pena detentiva, anche se costituente residuo di maggiore pena, non è superiore a tre anni, quattro anni nei casi previsti dall’articolo </w:t>
      </w:r>
      <w:hyperlink r:id="rId21" w:history="1">
        <w:r w:rsidRPr="00897237">
          <w:rPr>
            <w:rFonts w:ascii="Times" w:hAnsi="Times" w:cs="Times New Roman"/>
            <w:color w:val="0000FF"/>
            <w:sz w:val="20"/>
            <w:szCs w:val="20"/>
            <w:u w:val="single"/>
            <w:lang w:eastAsia="it-IT"/>
          </w:rPr>
          <w:t>47 ter</w:t>
        </w:r>
      </w:hyperlink>
      <w:r w:rsidRPr="00897237">
        <w:rPr>
          <w:rFonts w:ascii="Times" w:hAnsi="Times" w:cs="Times New Roman"/>
          <w:sz w:val="20"/>
          <w:szCs w:val="20"/>
          <w:lang w:eastAsia="it-IT"/>
        </w:rPr>
        <w:t xml:space="preserve">, comma 1, della legge 26 luglio 1975, n. 354, o sei anni nei casi di cui agli articoli </w:t>
      </w:r>
      <w:hyperlink r:id="rId22" w:history="1">
        <w:r w:rsidRPr="00897237">
          <w:rPr>
            <w:rFonts w:ascii="Times" w:hAnsi="Times" w:cs="Times New Roman"/>
            <w:color w:val="0000FF"/>
            <w:sz w:val="20"/>
            <w:szCs w:val="20"/>
            <w:u w:val="single"/>
            <w:lang w:eastAsia="it-IT"/>
          </w:rPr>
          <w:t>90</w:t>
        </w:r>
      </w:hyperlink>
      <w:r w:rsidRPr="00897237">
        <w:rPr>
          <w:rFonts w:ascii="Times" w:hAnsi="Times" w:cs="Times New Roman"/>
          <w:sz w:val="20"/>
          <w:szCs w:val="20"/>
          <w:lang w:eastAsia="it-IT"/>
        </w:rPr>
        <w:t xml:space="preserve"> e </w:t>
      </w:r>
      <w:hyperlink r:id="rId23" w:history="1">
        <w:r w:rsidRPr="00897237">
          <w:rPr>
            <w:rFonts w:ascii="Times" w:hAnsi="Times" w:cs="Times New Roman"/>
            <w:color w:val="0000FF"/>
            <w:sz w:val="20"/>
            <w:szCs w:val="20"/>
            <w:u w:val="single"/>
            <w:lang w:eastAsia="it-IT"/>
          </w:rPr>
          <w:t>94</w:t>
        </w:r>
      </w:hyperlink>
      <w:r w:rsidRPr="00897237">
        <w:rPr>
          <w:rFonts w:ascii="Times" w:hAnsi="Times" w:cs="Times New Roman"/>
          <w:sz w:val="20"/>
          <w:szCs w:val="20"/>
          <w:lang w:eastAsia="it-IT"/>
        </w:rPr>
        <w:t xml:space="preserve"> del testo unico approvato con decreto del Presidente della Repubblica 9 ottobre 1990, n. 309, e successive modificazioni, il pubblico ministero, salvo quanto previsto dai commi 7 e 9, ne sospende l'esecuzione. L'ordine di esecuzione e il decreto di sospensione sono notificati al condannato e al difensore nominato per la fase dell'esecuzione o, in difetto, al difensore che lo ha assistito nella fase di giudizio, con l'avviso che entro trenta giorni può essere presentata istanza, corredata dalle indicazioni e dalla documentazione necessarie, volta ad ottenere la concessione di una delle </w:t>
      </w:r>
      <w:hyperlink r:id="rId24" w:history="1">
        <w:r w:rsidRPr="00897237">
          <w:rPr>
            <w:rFonts w:ascii="Times" w:hAnsi="Times" w:cs="Times New Roman"/>
            <w:color w:val="0000FF"/>
            <w:sz w:val="20"/>
            <w:szCs w:val="20"/>
            <w:u w:val="single"/>
            <w:lang w:eastAsia="it-IT"/>
          </w:rPr>
          <w:t>misure alternative alla detenzione</w:t>
        </w:r>
      </w:hyperlink>
      <w:r w:rsidRPr="00897237">
        <w:rPr>
          <w:rFonts w:ascii="Times" w:hAnsi="Times" w:cs="Times New Roman"/>
          <w:sz w:val="20"/>
          <w:szCs w:val="20"/>
          <w:lang w:eastAsia="it-IT"/>
        </w:rPr>
        <w:t xml:space="preserve"> di cui agli articoli </w:t>
      </w:r>
      <w:hyperlink r:id="rId25" w:history="1">
        <w:r w:rsidRPr="00897237">
          <w:rPr>
            <w:rFonts w:ascii="Times" w:hAnsi="Times" w:cs="Times New Roman"/>
            <w:color w:val="0000FF"/>
            <w:sz w:val="20"/>
            <w:szCs w:val="20"/>
            <w:u w:val="single"/>
            <w:lang w:eastAsia="it-IT"/>
          </w:rPr>
          <w:t>47</w:t>
        </w:r>
      </w:hyperlink>
      <w:r w:rsidRPr="00897237">
        <w:rPr>
          <w:rFonts w:ascii="Times" w:hAnsi="Times" w:cs="Times New Roman"/>
          <w:sz w:val="20"/>
          <w:szCs w:val="20"/>
          <w:lang w:eastAsia="it-IT"/>
        </w:rPr>
        <w:t xml:space="preserve">, </w:t>
      </w:r>
      <w:hyperlink r:id="rId26" w:history="1">
        <w:r w:rsidRPr="00897237">
          <w:rPr>
            <w:rFonts w:ascii="Times" w:hAnsi="Times" w:cs="Times New Roman"/>
            <w:color w:val="0000FF"/>
            <w:sz w:val="20"/>
            <w:szCs w:val="20"/>
            <w:u w:val="single"/>
            <w:lang w:eastAsia="it-IT"/>
          </w:rPr>
          <w:t>47 ter</w:t>
        </w:r>
      </w:hyperlink>
      <w:r w:rsidRPr="00897237">
        <w:rPr>
          <w:rFonts w:ascii="Times" w:hAnsi="Times" w:cs="Times New Roman"/>
          <w:sz w:val="20"/>
          <w:szCs w:val="20"/>
          <w:lang w:eastAsia="it-IT"/>
        </w:rPr>
        <w:t xml:space="preserve"> e </w:t>
      </w:r>
      <w:hyperlink r:id="rId27" w:history="1">
        <w:r w:rsidRPr="00897237">
          <w:rPr>
            <w:rFonts w:ascii="Times" w:hAnsi="Times" w:cs="Times New Roman"/>
            <w:color w:val="0000FF"/>
            <w:sz w:val="20"/>
            <w:szCs w:val="20"/>
            <w:u w:val="single"/>
            <w:lang w:eastAsia="it-IT"/>
          </w:rPr>
          <w:t>50</w:t>
        </w:r>
      </w:hyperlink>
      <w:r w:rsidRPr="00897237">
        <w:rPr>
          <w:rFonts w:ascii="Times" w:hAnsi="Times" w:cs="Times New Roman"/>
          <w:sz w:val="20"/>
          <w:szCs w:val="20"/>
          <w:lang w:eastAsia="it-IT"/>
        </w:rPr>
        <w:t xml:space="preserve">, comma 1, della legge 26 luglio 1975, n. 354, e successive modificazioni, e di cui all'articolo </w:t>
      </w:r>
      <w:hyperlink r:id="rId28" w:history="1">
        <w:r w:rsidRPr="00897237">
          <w:rPr>
            <w:rFonts w:ascii="Times" w:hAnsi="Times" w:cs="Times New Roman"/>
            <w:color w:val="0000FF"/>
            <w:sz w:val="20"/>
            <w:szCs w:val="20"/>
            <w:u w:val="single"/>
            <w:lang w:eastAsia="it-IT"/>
          </w:rPr>
          <w:t>94</w:t>
        </w:r>
      </w:hyperlink>
      <w:r w:rsidRPr="00897237">
        <w:rPr>
          <w:rFonts w:ascii="Times" w:hAnsi="Times" w:cs="Times New Roman"/>
          <w:sz w:val="20"/>
          <w:szCs w:val="20"/>
          <w:lang w:eastAsia="it-IT"/>
        </w:rPr>
        <w:t xml:space="preserve"> del testo unico approvato con decreto del Presidente della Repubblica 9 ottobre 1990, n. 309, e successive modificazioni, ovvero la sospensione dell'esecuzione della pena di cui all'articolo </w:t>
      </w:r>
      <w:hyperlink r:id="rId29" w:history="1">
        <w:r w:rsidRPr="00897237">
          <w:rPr>
            <w:rFonts w:ascii="Times" w:hAnsi="Times" w:cs="Times New Roman"/>
            <w:color w:val="0000FF"/>
            <w:sz w:val="20"/>
            <w:szCs w:val="20"/>
            <w:u w:val="single"/>
            <w:lang w:eastAsia="it-IT"/>
          </w:rPr>
          <w:t>90</w:t>
        </w:r>
      </w:hyperlink>
      <w:r w:rsidRPr="00897237">
        <w:rPr>
          <w:rFonts w:ascii="Times" w:hAnsi="Times" w:cs="Times New Roman"/>
          <w:sz w:val="20"/>
          <w:szCs w:val="20"/>
          <w:lang w:eastAsia="it-IT"/>
        </w:rPr>
        <w:t xml:space="preserve"> dello stesso testo unico. L'avviso informa altresì che, ove non sia presentata l'istanza o la stessa sia inammissibile ai sensi degli articoli </w:t>
      </w:r>
      <w:hyperlink r:id="rId30" w:history="1">
        <w:r w:rsidRPr="00897237">
          <w:rPr>
            <w:rFonts w:ascii="Times" w:hAnsi="Times" w:cs="Times New Roman"/>
            <w:color w:val="0000FF"/>
            <w:sz w:val="20"/>
            <w:szCs w:val="20"/>
            <w:u w:val="single"/>
            <w:lang w:eastAsia="it-IT"/>
          </w:rPr>
          <w:t>90</w:t>
        </w:r>
      </w:hyperlink>
      <w:r w:rsidRPr="00897237">
        <w:rPr>
          <w:rFonts w:ascii="Times" w:hAnsi="Times" w:cs="Times New Roman"/>
          <w:sz w:val="20"/>
          <w:szCs w:val="20"/>
          <w:lang w:eastAsia="it-IT"/>
        </w:rPr>
        <w:t xml:space="preserve"> e seguenti del citato testo unico l'esecuzione della pena avrà corso immediato</w:t>
      </w:r>
      <w:hyperlink r:id="rId31" w:anchor="nota_14849" w:history="1">
        <w:r w:rsidRPr="00897237">
          <w:rPr>
            <w:rFonts w:ascii="Times" w:hAnsi="Times" w:cs="Times New Roman"/>
            <w:color w:val="0000FF"/>
            <w:sz w:val="20"/>
            <w:szCs w:val="20"/>
            <w:u w:val="single"/>
            <w:vertAlign w:val="superscript"/>
            <w:lang w:eastAsia="it-IT"/>
          </w:rPr>
          <w:t>(4)</w:t>
        </w:r>
      </w:hyperlink>
      <w:r w:rsidRPr="00897237">
        <w:rPr>
          <w:rFonts w:ascii="Times" w:hAnsi="Times" w:cs="Times New Roman"/>
          <w:sz w:val="20"/>
          <w:szCs w:val="20"/>
          <w:lang w:eastAsia="it-IT"/>
        </w:rPr>
        <w:t>. Con l’avviso il condannato è informato che ha facoltà di accedere ai programmi di giustizia riparativa e che, se il processo si è svolto in sua assenza, nel termine di trenta giorni dalla conoscenza della sentenza può chiedere, in presenza dei relativi presupposti, la restituzione nel termine per proporre impugnazione o la rescissione del giudicato</w:t>
      </w:r>
      <w:hyperlink r:id="rId32" w:anchor="nota_26264" w:history="1">
        <w:r w:rsidRPr="00897237">
          <w:rPr>
            <w:rFonts w:ascii="Times" w:hAnsi="Times" w:cs="Times New Roman"/>
            <w:color w:val="0000FF"/>
            <w:sz w:val="20"/>
            <w:szCs w:val="20"/>
            <w:u w:val="single"/>
            <w:vertAlign w:val="superscript"/>
            <w:lang w:eastAsia="it-IT"/>
          </w:rPr>
          <w:t>(13)</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6. L'istanza deve essere presentata dal condannato o dal difensore di cui al comma 5 ovvero allo scopo nominato al pubblico ministero, il quale la trasmette, unitamente alla documentazione, al tribunale di sorveglianza competente in relazione al luogo in cui ha sede l'ufficio del pubblico ministero. Se l'istanza non è corredata dalla documentazione utile questa, salvi i casi di inammissibilità può essere depositata nella cancelleria del tribunale di sorveglianza fino a cinque giorni prima dell'udienza fissata a norma dell'art. </w:t>
      </w:r>
      <w:hyperlink r:id="rId33" w:history="1">
        <w:r w:rsidRPr="00897237">
          <w:rPr>
            <w:rFonts w:ascii="Times" w:hAnsi="Times" w:cs="Times New Roman"/>
            <w:color w:val="0000FF"/>
            <w:sz w:val="20"/>
            <w:szCs w:val="20"/>
            <w:u w:val="single"/>
            <w:lang w:eastAsia="it-IT"/>
          </w:rPr>
          <w:t>666</w:t>
        </w:r>
      </w:hyperlink>
      <w:r w:rsidRPr="00897237">
        <w:rPr>
          <w:rFonts w:ascii="Times" w:hAnsi="Times" w:cs="Times New Roman"/>
          <w:sz w:val="20"/>
          <w:szCs w:val="20"/>
          <w:lang w:eastAsia="it-IT"/>
        </w:rPr>
        <w:t xml:space="preserve">, comma 3. Resta salva, in ogni caso, la facoltà del tribunale di sorveglianza di procedere anche d'ufficio alla richiesta di documenti o di informazioni, o all'assunzione di prove a norma dell'articolo </w:t>
      </w:r>
      <w:hyperlink r:id="rId34" w:history="1">
        <w:r w:rsidRPr="00897237">
          <w:rPr>
            <w:rFonts w:ascii="Times" w:hAnsi="Times" w:cs="Times New Roman"/>
            <w:color w:val="0000FF"/>
            <w:sz w:val="20"/>
            <w:szCs w:val="20"/>
            <w:u w:val="single"/>
            <w:lang w:eastAsia="it-IT"/>
          </w:rPr>
          <w:t>666</w:t>
        </w:r>
      </w:hyperlink>
      <w:r w:rsidRPr="00897237">
        <w:rPr>
          <w:rFonts w:ascii="Times" w:hAnsi="Times" w:cs="Times New Roman"/>
          <w:sz w:val="20"/>
          <w:szCs w:val="20"/>
          <w:lang w:eastAsia="it-IT"/>
        </w:rPr>
        <w:t>, comma 5. Il tribunale di sorveglianza decide non prima del trentesimo e non oltre il quarantacinquesimo giorno dalla ricezione della richiesta</w:t>
      </w:r>
      <w:hyperlink r:id="rId35" w:anchor="nota_20691" w:history="1">
        <w:r w:rsidRPr="00897237">
          <w:rPr>
            <w:rFonts w:ascii="Times" w:hAnsi="Times" w:cs="Times New Roman"/>
            <w:color w:val="0000FF"/>
            <w:sz w:val="20"/>
            <w:szCs w:val="20"/>
            <w:u w:val="single"/>
            <w:vertAlign w:val="superscript"/>
            <w:lang w:eastAsia="it-IT"/>
          </w:rPr>
          <w:t>(5)</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7. La sospensione dell'esecuzione per la stessa condanna non può essere disposta più di una volta, anche se il condannato ripropone nuova istanza sia in ordine a diversa misura alternativa, sia in ordine alla medesima, diversamente motivata, sia in ordine alla sospensione dell'esecuzione della pena di cui all'articolo </w:t>
      </w:r>
      <w:hyperlink r:id="rId36" w:history="1">
        <w:r w:rsidRPr="00897237">
          <w:rPr>
            <w:rFonts w:ascii="Times" w:hAnsi="Times" w:cs="Times New Roman"/>
            <w:color w:val="0000FF"/>
            <w:sz w:val="20"/>
            <w:szCs w:val="20"/>
            <w:u w:val="single"/>
            <w:lang w:eastAsia="it-IT"/>
          </w:rPr>
          <w:t>90</w:t>
        </w:r>
      </w:hyperlink>
      <w:r w:rsidRPr="00897237">
        <w:rPr>
          <w:rFonts w:ascii="Times" w:hAnsi="Times" w:cs="Times New Roman"/>
          <w:sz w:val="20"/>
          <w:szCs w:val="20"/>
          <w:lang w:eastAsia="it-IT"/>
        </w:rPr>
        <w:t xml:space="preserve"> del testo unico approvato con decreto del Presidente della Repubblica 9 ottobre 1990, n. 309, e successive modificazioni.</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8. Salva la disposizione del comma 8-bis, qualora l'istanza non sia tempestivamente presentata, o il tribunale di sorveglianza la dichiari inammissibile o la respinga, il pubblico ministero revoca immediatamente il decreto di sospensione dell'esecuzione. II pubblico ministero provvede analogamente quando l'istanza presentata è inammissibile ai sensi degli articoli </w:t>
      </w:r>
      <w:hyperlink r:id="rId37" w:history="1">
        <w:r w:rsidRPr="00897237">
          <w:rPr>
            <w:rFonts w:ascii="Times" w:hAnsi="Times" w:cs="Times New Roman"/>
            <w:color w:val="0000FF"/>
            <w:sz w:val="20"/>
            <w:szCs w:val="20"/>
            <w:u w:val="single"/>
            <w:lang w:eastAsia="it-IT"/>
          </w:rPr>
          <w:t>90</w:t>
        </w:r>
      </w:hyperlink>
      <w:r w:rsidRPr="00897237">
        <w:rPr>
          <w:rFonts w:ascii="Times" w:hAnsi="Times" w:cs="Times New Roman"/>
          <w:sz w:val="20"/>
          <w:szCs w:val="20"/>
          <w:lang w:eastAsia="it-IT"/>
        </w:rPr>
        <w:t xml:space="preserve"> e seguenti del testo unico di cui al decreto del Presidente della Repubblica 9 ottobre 1990, n. 309, e successive modificazioni, nonché, nelle more della decisione del tribunale di sorveglianza, quando il programma di recupero di cui all'articolo </w:t>
      </w:r>
      <w:hyperlink r:id="rId38" w:history="1">
        <w:r w:rsidRPr="00897237">
          <w:rPr>
            <w:rFonts w:ascii="Times" w:hAnsi="Times" w:cs="Times New Roman"/>
            <w:color w:val="0000FF"/>
            <w:sz w:val="20"/>
            <w:szCs w:val="20"/>
            <w:u w:val="single"/>
            <w:lang w:eastAsia="it-IT"/>
          </w:rPr>
          <w:t>94</w:t>
        </w:r>
      </w:hyperlink>
      <w:r w:rsidRPr="00897237">
        <w:rPr>
          <w:rFonts w:ascii="Times" w:hAnsi="Times" w:cs="Times New Roman"/>
          <w:sz w:val="20"/>
          <w:szCs w:val="20"/>
          <w:lang w:eastAsia="it-IT"/>
        </w:rPr>
        <w:t xml:space="preserve"> del medesimo testo unico non risulta iniziato entro cinque giorni dalla data di presentazione della relativa istanza o risulta interrotto. A tal fine il pubblico ministero, nel trasmettere l'istanza al tribunale di sorveglianza, dispone gli opportuni accertamenti</w:t>
      </w:r>
      <w:hyperlink r:id="rId39" w:anchor="nota_19554" w:history="1">
        <w:r w:rsidRPr="00897237">
          <w:rPr>
            <w:rFonts w:ascii="Times" w:hAnsi="Times" w:cs="Times New Roman"/>
            <w:color w:val="0000FF"/>
            <w:sz w:val="20"/>
            <w:szCs w:val="20"/>
            <w:u w:val="single"/>
            <w:vertAlign w:val="superscript"/>
            <w:lang w:eastAsia="it-IT"/>
          </w:rPr>
          <w:t>(6)</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8-bis. Quando è provato o appare probabile che il condannato non abbia avuto effettiva conoscenza dell'avviso di cui al comma 5, il pubblico ministero può assumere, anche presso il difensore, le opportune informazioni, all'esito delle quali può disporre la rinnovazione della notifica.</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9. La sospensione dell'esecuzione di cui al comma 5 non può essere disposta:</w:t>
      </w:r>
    </w:p>
    <w:p w:rsidR="00897237" w:rsidRPr="00897237" w:rsidRDefault="00897237" w:rsidP="00897237">
      <w:pPr>
        <w:numPr>
          <w:ilvl w:val="0"/>
          <w:numId w:val="2"/>
        </w:numPr>
        <w:spacing w:beforeLines="1" w:afterLines="1"/>
        <w:rPr>
          <w:rFonts w:ascii="Times" w:hAnsi="Times"/>
          <w:sz w:val="20"/>
          <w:szCs w:val="20"/>
          <w:lang w:eastAsia="it-IT"/>
        </w:rPr>
      </w:pPr>
      <w:r w:rsidRPr="00897237">
        <w:rPr>
          <w:rFonts w:ascii="Times" w:hAnsi="Times"/>
          <w:sz w:val="20"/>
          <w:szCs w:val="20"/>
          <w:lang w:eastAsia="it-IT"/>
        </w:rPr>
        <w:t xml:space="preserve">a) nei confronti dei condannati per i delitti di cui all'articolo </w:t>
      </w:r>
      <w:hyperlink r:id="rId40" w:history="1">
        <w:r w:rsidRPr="00897237">
          <w:rPr>
            <w:rFonts w:ascii="Times" w:hAnsi="Times"/>
            <w:color w:val="0000FF"/>
            <w:sz w:val="20"/>
            <w:szCs w:val="20"/>
            <w:u w:val="single"/>
            <w:lang w:eastAsia="it-IT"/>
          </w:rPr>
          <w:t>4 bis</w:t>
        </w:r>
      </w:hyperlink>
      <w:r w:rsidRPr="00897237">
        <w:rPr>
          <w:rFonts w:ascii="Times" w:hAnsi="Times"/>
          <w:sz w:val="20"/>
          <w:szCs w:val="20"/>
          <w:lang w:eastAsia="it-IT"/>
        </w:rPr>
        <w:t xml:space="preserve"> della legge 26 luglio 1975, n. 354, e successive modificazioni, nonché di cui agli articoli </w:t>
      </w:r>
      <w:hyperlink r:id="rId41" w:history="1">
        <w:r w:rsidRPr="00897237">
          <w:rPr>
            <w:rFonts w:ascii="Times" w:hAnsi="Times"/>
            <w:color w:val="0000FF"/>
            <w:sz w:val="20"/>
            <w:szCs w:val="20"/>
            <w:u w:val="single"/>
            <w:lang w:eastAsia="it-IT"/>
          </w:rPr>
          <w:t>423 bis</w:t>
        </w:r>
      </w:hyperlink>
      <w:r w:rsidRPr="00897237">
        <w:rPr>
          <w:rFonts w:ascii="Times" w:hAnsi="Times"/>
          <w:sz w:val="20"/>
          <w:szCs w:val="20"/>
          <w:lang w:eastAsia="it-IT"/>
        </w:rPr>
        <w:t xml:space="preserve">, </w:t>
      </w:r>
      <w:hyperlink r:id="rId42" w:history="1">
        <w:r w:rsidRPr="00897237">
          <w:rPr>
            <w:rFonts w:ascii="Times" w:hAnsi="Times"/>
            <w:color w:val="0000FF"/>
            <w:sz w:val="20"/>
            <w:szCs w:val="20"/>
            <w:u w:val="single"/>
            <w:lang w:eastAsia="it-IT"/>
          </w:rPr>
          <w:t>572</w:t>
        </w:r>
      </w:hyperlink>
      <w:r w:rsidRPr="00897237">
        <w:rPr>
          <w:rFonts w:ascii="Times" w:hAnsi="Times"/>
          <w:sz w:val="20"/>
          <w:szCs w:val="20"/>
          <w:lang w:eastAsia="it-IT"/>
        </w:rPr>
        <w:t xml:space="preserve">, secondo comma, </w:t>
      </w:r>
      <w:hyperlink r:id="rId43" w:history="1">
        <w:r w:rsidRPr="00897237">
          <w:rPr>
            <w:rFonts w:ascii="Times" w:hAnsi="Times"/>
            <w:color w:val="0000FF"/>
            <w:sz w:val="20"/>
            <w:szCs w:val="20"/>
            <w:u w:val="single"/>
            <w:lang w:eastAsia="it-IT"/>
          </w:rPr>
          <w:t>612 bis</w:t>
        </w:r>
      </w:hyperlink>
      <w:r w:rsidRPr="00897237">
        <w:rPr>
          <w:rFonts w:ascii="Times" w:hAnsi="Times"/>
          <w:sz w:val="20"/>
          <w:szCs w:val="20"/>
          <w:lang w:eastAsia="it-IT"/>
        </w:rPr>
        <w:t xml:space="preserve">, terzo comma, </w:t>
      </w:r>
      <w:hyperlink r:id="rId44" w:history="1">
        <w:r w:rsidRPr="00897237">
          <w:rPr>
            <w:rFonts w:ascii="Times" w:hAnsi="Times"/>
            <w:color w:val="0000FF"/>
            <w:sz w:val="20"/>
            <w:szCs w:val="20"/>
            <w:u w:val="single"/>
            <w:lang w:eastAsia="it-IT"/>
          </w:rPr>
          <w:t>624 bis</w:t>
        </w:r>
      </w:hyperlink>
      <w:r w:rsidRPr="00897237">
        <w:rPr>
          <w:rFonts w:ascii="Times" w:hAnsi="Times"/>
          <w:sz w:val="20"/>
          <w:szCs w:val="20"/>
          <w:lang w:eastAsia="it-IT"/>
        </w:rPr>
        <w:t xml:space="preserve"> del codice penale, fatta eccezione per coloro che si trovano agli arresti domiciliari disposti ai sensi dell'articolo </w:t>
      </w:r>
      <w:hyperlink r:id="rId45" w:history="1">
        <w:r w:rsidRPr="00897237">
          <w:rPr>
            <w:rFonts w:ascii="Times" w:hAnsi="Times"/>
            <w:color w:val="0000FF"/>
            <w:sz w:val="20"/>
            <w:szCs w:val="20"/>
            <w:u w:val="single"/>
            <w:lang w:eastAsia="it-IT"/>
          </w:rPr>
          <w:t>89</w:t>
        </w:r>
      </w:hyperlink>
      <w:r w:rsidRPr="00897237">
        <w:rPr>
          <w:rFonts w:ascii="Times" w:hAnsi="Times"/>
          <w:sz w:val="20"/>
          <w:szCs w:val="20"/>
          <w:lang w:eastAsia="it-IT"/>
        </w:rPr>
        <w:t xml:space="preserve"> del testo unico di cui al decreto del Presidente della Repubblica 9 ottobre 1990, n. 309, e successive modificazioni</w:t>
      </w:r>
      <w:hyperlink r:id="rId46" w:anchor="nota_19003" w:history="1">
        <w:r w:rsidRPr="00897237">
          <w:rPr>
            <w:rFonts w:ascii="Times" w:hAnsi="Times"/>
            <w:color w:val="0000FF"/>
            <w:sz w:val="20"/>
            <w:szCs w:val="20"/>
            <w:u w:val="single"/>
            <w:vertAlign w:val="superscript"/>
            <w:lang w:eastAsia="it-IT"/>
          </w:rPr>
          <w:t>(7)</w:t>
        </w:r>
      </w:hyperlink>
      <w:hyperlink r:id="rId47" w:anchor="nota_19526" w:history="1">
        <w:r w:rsidRPr="00897237">
          <w:rPr>
            <w:rFonts w:ascii="Times" w:hAnsi="Times"/>
            <w:color w:val="0000FF"/>
            <w:sz w:val="20"/>
            <w:szCs w:val="20"/>
            <w:u w:val="single"/>
            <w:vertAlign w:val="superscript"/>
            <w:lang w:eastAsia="it-IT"/>
          </w:rPr>
          <w:t>(8)</w:t>
        </w:r>
      </w:hyperlink>
      <w:hyperlink r:id="rId48" w:anchor="nota_24792" w:history="1">
        <w:r w:rsidRPr="00897237">
          <w:rPr>
            <w:rFonts w:ascii="Times" w:hAnsi="Times"/>
            <w:color w:val="0000FF"/>
            <w:sz w:val="20"/>
            <w:szCs w:val="20"/>
            <w:u w:val="single"/>
            <w:vertAlign w:val="superscript"/>
            <w:lang w:eastAsia="it-IT"/>
          </w:rPr>
          <w:t>(11)</w:t>
        </w:r>
      </w:hyperlink>
      <w:r w:rsidRPr="00897237">
        <w:rPr>
          <w:rFonts w:ascii="Times" w:hAnsi="Times"/>
          <w:sz w:val="20"/>
          <w:szCs w:val="20"/>
          <w:lang w:eastAsia="it-IT"/>
        </w:rPr>
        <w:t>;</w:t>
      </w:r>
    </w:p>
    <w:p w:rsidR="00897237" w:rsidRPr="00897237" w:rsidRDefault="00897237" w:rsidP="00897237">
      <w:pPr>
        <w:numPr>
          <w:ilvl w:val="0"/>
          <w:numId w:val="2"/>
        </w:numPr>
        <w:spacing w:beforeLines="1" w:afterLines="1"/>
        <w:rPr>
          <w:rFonts w:ascii="Times" w:hAnsi="Times"/>
          <w:sz w:val="20"/>
          <w:szCs w:val="20"/>
          <w:lang w:eastAsia="it-IT"/>
        </w:rPr>
      </w:pPr>
      <w:r w:rsidRPr="00897237">
        <w:rPr>
          <w:rFonts w:ascii="Times" w:hAnsi="Times"/>
          <w:sz w:val="20"/>
          <w:szCs w:val="20"/>
          <w:lang w:eastAsia="it-IT"/>
        </w:rPr>
        <w:t>b) nei confronti di coloro che, per il fatto oggetto della condanna da eseguire, si trovano in stato di custodia cautelare in carcere nel momento in cui la sentenza diviene definitiva.</w:t>
      </w:r>
    </w:p>
    <w:p w:rsidR="00897237" w:rsidRPr="00897237" w:rsidRDefault="00897237" w:rsidP="00897237">
      <w:pPr>
        <w:numPr>
          <w:ilvl w:val="0"/>
          <w:numId w:val="2"/>
        </w:numPr>
        <w:spacing w:beforeLines="1" w:afterLines="1"/>
        <w:rPr>
          <w:rFonts w:ascii="Times" w:hAnsi="Times"/>
          <w:sz w:val="20"/>
          <w:szCs w:val="20"/>
          <w:lang w:eastAsia="it-IT"/>
        </w:rPr>
      </w:pPr>
      <w:r w:rsidRPr="00897237">
        <w:rPr>
          <w:rFonts w:ascii="Times" w:hAnsi="Times"/>
          <w:sz w:val="20"/>
          <w:szCs w:val="20"/>
          <w:lang w:eastAsia="it-IT"/>
        </w:rPr>
        <w:t xml:space="preserve">[c) nei confronti dei condannati ai quali sia stata applicata la recidiva prevista dall'articolo </w:t>
      </w:r>
      <w:hyperlink r:id="rId49" w:history="1">
        <w:r w:rsidRPr="00897237">
          <w:rPr>
            <w:rFonts w:ascii="Times" w:hAnsi="Times"/>
            <w:color w:val="0000FF"/>
            <w:sz w:val="20"/>
            <w:szCs w:val="20"/>
            <w:u w:val="single"/>
            <w:lang w:eastAsia="it-IT"/>
          </w:rPr>
          <w:t>99</w:t>
        </w:r>
      </w:hyperlink>
      <w:r w:rsidRPr="00897237">
        <w:rPr>
          <w:rFonts w:ascii="Times" w:hAnsi="Times"/>
          <w:sz w:val="20"/>
          <w:szCs w:val="20"/>
          <w:lang w:eastAsia="it-IT"/>
        </w:rPr>
        <w:t>, quarto comma, del codice penale.]</w:t>
      </w:r>
      <w:hyperlink r:id="rId50" w:anchor="nota_14850" w:history="1">
        <w:r w:rsidRPr="00897237">
          <w:rPr>
            <w:rFonts w:ascii="Times" w:hAnsi="Times"/>
            <w:color w:val="0000FF"/>
            <w:sz w:val="20"/>
            <w:szCs w:val="20"/>
            <w:u w:val="single"/>
            <w:vertAlign w:val="superscript"/>
            <w:lang w:eastAsia="it-IT"/>
          </w:rPr>
          <w:t>(9)</w:t>
        </w:r>
      </w:hyperlink>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9-bis. Il pubblico ministero, prima di emettere l'ordine di esecuzione, previa verifica dell'esistenza di periodi di custodia cautelare o di pena dichiarata fungibile relativi al titolo esecutivo da eseguire, trasmette gli atti al magistrato di sorveglianza affinchè disponga con ordinanza in via provvisoria la detenzione domiciliare per il condannato di età pari o superiore a settanta anni se la residua pena da espiare determinata ai sensi del comma 4-bis è compresa tra due e quattro anni di reclusione, fino alla decisione del tribunale di sorveglianza di cui al comma 6. Sono escluse le condanne per i delitti di cui all'articolo </w:t>
      </w:r>
      <w:hyperlink r:id="rId51" w:history="1">
        <w:r w:rsidRPr="00897237">
          <w:rPr>
            <w:rFonts w:ascii="Times" w:hAnsi="Times" w:cs="Times New Roman"/>
            <w:color w:val="0000FF"/>
            <w:sz w:val="20"/>
            <w:szCs w:val="20"/>
            <w:u w:val="single"/>
            <w:lang w:eastAsia="it-IT"/>
          </w:rPr>
          <w:t>51</w:t>
        </w:r>
      </w:hyperlink>
      <w:r w:rsidRPr="00897237">
        <w:rPr>
          <w:rFonts w:ascii="Times" w:hAnsi="Times" w:cs="Times New Roman"/>
          <w:sz w:val="20"/>
          <w:szCs w:val="20"/>
          <w:lang w:eastAsia="it-IT"/>
        </w:rPr>
        <w:t xml:space="preserve">, comma 3-bis, del presente codice e all'articolo </w:t>
      </w:r>
      <w:hyperlink r:id="rId52" w:history="1">
        <w:r w:rsidRPr="00897237">
          <w:rPr>
            <w:rFonts w:ascii="Times" w:hAnsi="Times" w:cs="Times New Roman"/>
            <w:color w:val="0000FF"/>
            <w:sz w:val="20"/>
            <w:szCs w:val="20"/>
            <w:u w:val="single"/>
            <w:lang w:eastAsia="it-IT"/>
          </w:rPr>
          <w:t>4 bis</w:t>
        </w:r>
      </w:hyperlink>
      <w:r w:rsidRPr="00897237">
        <w:rPr>
          <w:rFonts w:ascii="Times" w:hAnsi="Times" w:cs="Times New Roman"/>
          <w:sz w:val="20"/>
          <w:szCs w:val="20"/>
          <w:lang w:eastAsia="it-IT"/>
        </w:rPr>
        <w:t xml:space="preserve"> della legge 26 luglio 1975, n. 354</w:t>
      </w:r>
      <w:hyperlink r:id="rId53" w:anchor="nota_26754" w:history="1">
        <w:r w:rsidRPr="00897237">
          <w:rPr>
            <w:rFonts w:ascii="Times" w:hAnsi="Times" w:cs="Times New Roman"/>
            <w:color w:val="0000FF"/>
            <w:sz w:val="20"/>
            <w:szCs w:val="20"/>
            <w:u w:val="single"/>
            <w:vertAlign w:val="superscript"/>
            <w:lang w:eastAsia="it-IT"/>
          </w:rPr>
          <w:t>(15)</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9-ter. Il pubblico ministero, prima di emettere l'ordine di esecuzione, trasmette gli atti al magistrato di sorveglianza affinchè disponga con ordinanza in via provvisoria la detenzione domiciliare se il condannato si trova agli arresti domiciliari per gravissimi motivi di salute, fino alla decisione del tribunale di sorveglianza di cui al comma 6</w:t>
      </w:r>
      <w:hyperlink r:id="rId54" w:anchor="nota_26754" w:history="1">
        <w:r w:rsidRPr="00897237">
          <w:rPr>
            <w:rFonts w:ascii="Times" w:hAnsi="Times" w:cs="Times New Roman"/>
            <w:color w:val="0000FF"/>
            <w:sz w:val="20"/>
            <w:szCs w:val="20"/>
            <w:u w:val="single"/>
            <w:vertAlign w:val="superscript"/>
            <w:lang w:eastAsia="it-IT"/>
          </w:rPr>
          <w:t>(15)</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10. Nella situazione considerata dal comma 5, se il condannato si trova agli arresti domiciliari per il fatto oggetto della condanna da eseguire, e se la residua pena da espiare determinata ai sensi del comma 4-bis non supera i limiti indicati dal comma 5, il pubblico ministero sospende l'esecuzione dell'ordine di carcerazione e trasmette gli atti senza ritardo al tribunale di sorveglianza perché provveda alla eventuale applicazione di una delle misure alternative di cui al comma 5. Fino alla decisione del tribunale di sorveglianza, il condannato permane nello stato detentivo nel quale si trova e il tempo corrispondente è considerato come pena espiata a tutti gli effetti. Agli adempimenti previsti dall'articolo </w:t>
      </w:r>
      <w:hyperlink r:id="rId55" w:history="1">
        <w:r w:rsidRPr="00897237">
          <w:rPr>
            <w:rFonts w:ascii="Times" w:hAnsi="Times" w:cs="Times New Roman"/>
            <w:color w:val="0000FF"/>
            <w:sz w:val="20"/>
            <w:szCs w:val="20"/>
            <w:u w:val="single"/>
            <w:lang w:eastAsia="it-IT"/>
          </w:rPr>
          <w:t>47 ter</w:t>
        </w:r>
      </w:hyperlink>
      <w:r w:rsidRPr="00897237">
        <w:rPr>
          <w:rFonts w:ascii="Times" w:hAnsi="Times" w:cs="Times New Roman"/>
          <w:sz w:val="20"/>
          <w:szCs w:val="20"/>
          <w:lang w:eastAsia="it-IT"/>
        </w:rPr>
        <w:t xml:space="preserve"> della legge 26 luglio 1975, n. 354, e successive modificazioni, provvede in ogni caso il magistrato di sorveglianza</w:t>
      </w:r>
      <w:hyperlink r:id="rId56" w:anchor="nota_14851" w:history="1">
        <w:r w:rsidRPr="00897237">
          <w:rPr>
            <w:rFonts w:ascii="Times" w:hAnsi="Times" w:cs="Times New Roman"/>
            <w:color w:val="0000FF"/>
            <w:sz w:val="20"/>
            <w:szCs w:val="20"/>
            <w:u w:val="single"/>
            <w:vertAlign w:val="superscript"/>
            <w:lang w:eastAsia="it-IT"/>
          </w:rPr>
          <w:t>(10)</w:t>
        </w:r>
      </w:hyperlink>
      <w:r w:rsidRPr="00897237">
        <w:rPr>
          <w:rFonts w:ascii="Times" w:hAnsi="Times" w:cs="Times New Roman"/>
          <w:sz w:val="20"/>
          <w:szCs w:val="20"/>
          <w:lang w:eastAsia="it-IT"/>
        </w:rPr>
        <w:t>.</w:t>
      </w:r>
    </w:p>
    <w:p w:rsidR="00897237" w:rsidRPr="00897237" w:rsidRDefault="00897237" w:rsidP="00897237">
      <w:pPr>
        <w:spacing w:beforeLines="1" w:afterLines="1"/>
        <w:rPr>
          <w:rFonts w:ascii="Times" w:hAnsi="Times" w:cs="Times New Roman"/>
          <w:sz w:val="20"/>
          <w:szCs w:val="20"/>
          <w:lang w:eastAsia="it-IT"/>
        </w:rPr>
      </w:pPr>
      <w:r w:rsidRPr="00897237">
        <w:rPr>
          <w:rFonts w:ascii="Times" w:hAnsi="Times" w:cs="Times New Roman"/>
          <w:sz w:val="20"/>
          <w:szCs w:val="20"/>
          <w:lang w:eastAsia="it-IT"/>
        </w:rPr>
        <w:t xml:space="preserve">10-bis. Fermo il disposto del comma 4-bis, nell'ordine di esecuzione la pena da espiare è indicata computando le detrazioni previste dall'articolo </w:t>
      </w:r>
      <w:hyperlink r:id="rId57" w:history="1">
        <w:r w:rsidRPr="00897237">
          <w:rPr>
            <w:rFonts w:ascii="Times" w:hAnsi="Times" w:cs="Times New Roman"/>
            <w:color w:val="0000FF"/>
            <w:sz w:val="20"/>
            <w:szCs w:val="20"/>
            <w:u w:val="single"/>
            <w:lang w:eastAsia="it-IT"/>
          </w:rPr>
          <w:t>54</w:t>
        </w:r>
      </w:hyperlink>
      <w:r w:rsidRPr="00897237">
        <w:rPr>
          <w:rFonts w:ascii="Times" w:hAnsi="Times" w:cs="Times New Roman"/>
          <w:sz w:val="20"/>
          <w:szCs w:val="20"/>
          <w:lang w:eastAsia="it-IT"/>
        </w:rPr>
        <w:t xml:space="preserve"> della legge 26 luglio 1975, n. 354, in modo tale che siano specificamente indicate le detrazioni e sia evidenziata anche la pena da espiare senza le detrazioni. Nell'ordine di esecuzione è dato avviso al destinatario che le detrazioni di cui all'articolo 54 della legge 26 luglio 1975, n. 354 non saranno riconosciute qualora durante il periodo di esecuzione della pena il condannato non abbia partecipato all'opera di rieducazione</w:t>
      </w:r>
      <w:hyperlink r:id="rId58" w:anchor="nota_26754" w:history="1">
        <w:r w:rsidRPr="00897237">
          <w:rPr>
            <w:rFonts w:ascii="Times" w:hAnsi="Times" w:cs="Times New Roman"/>
            <w:color w:val="0000FF"/>
            <w:sz w:val="20"/>
            <w:szCs w:val="20"/>
            <w:u w:val="single"/>
            <w:vertAlign w:val="superscript"/>
            <w:lang w:eastAsia="it-IT"/>
          </w:rPr>
          <w:t>(15)</w:t>
        </w:r>
      </w:hyperlink>
      <w:r w:rsidRPr="00897237">
        <w:rPr>
          <w:rFonts w:ascii="Times" w:hAnsi="Times" w:cs="Times New Roman"/>
          <w:sz w:val="20"/>
          <w:szCs w:val="20"/>
          <w:lang w:eastAsia="it-IT"/>
        </w:rPr>
        <w:t>.</w:t>
      </w:r>
    </w:p>
    <w:p w:rsidR="00A50EE1" w:rsidRDefault="00897237" w:rsidP="00897237">
      <w:pPr>
        <w:spacing w:beforeLines="1" w:afterLines="1"/>
      </w:pPr>
    </w:p>
    <w:sectPr w:rsidR="00A50EE1" w:rsidSect="00A50EE1">
      <w:pgSz w:w="11900" w:h="16840"/>
      <w:pgMar w:top="1417" w:right="1134" w:bottom="1134" w:left="1134" w:header="708" w:footer="708" w:gutter="0"/>
      <w:cols w:space="708"/>
    </w:sectPr>
  </w:body>
</w:document>
</file>

<file path=word/fontTable.xml><?xml version="1.0" encoding="utf-8"?>
<w:fonts xmlns:r="http://schemas.openxmlformats.org/officeDocument/2006/relationships" xmlns:w="http://schemas.openxmlformats.org/wordprocessingml/2006/main">
  <w:font w:name="Cambria">
    <w:panose1 w:val="02040503050406030204"/>
    <w:charset w:val="00"/>
    <w:family w:val="auto"/>
    <w:pitch w:val="variable"/>
    <w:sig w:usb0="00000003" w:usb1="00000000" w:usb2="00000000" w:usb3="00000000" w:csb0="00000001" w:csb1="00000000"/>
  </w:font>
  <w:font w:name="Times New Roman">
    <w:panose1 w:val="02020603050405020304"/>
    <w:charset w:val="00"/>
    <w:family w:val="auto"/>
    <w:pitch w:val="variable"/>
    <w:sig w:usb0="00000003" w:usb1="00000000" w:usb2="00000000" w:usb3="00000000" w:csb0="00000001"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00000003" w:usb1="00000000" w:usb2="00000000" w:usb3="00000000" w:csb0="00000001" w:csb1="00000000"/>
  </w:font>
  <w:font w:name="Calibri">
    <w:panose1 w:val="020F0502020204030204"/>
    <w:charset w:val="00"/>
    <w:family w:val="auto"/>
    <w:pitch w:val="variable"/>
    <w:sig w:usb0="00000003" w:usb1="00000000" w:usb2="00000000" w:usb3="00000000" w:csb0="00000001" w:csb1="00000000"/>
  </w:font>
</w:fonts>
</file>

<file path=word/numbering.xml><?xml version="1.0" encoding="utf-8"?>
<w:numbering xmlns:mo="http://schemas.microsoft.com/office/mac/office/2008/main" xmlns:ve="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C4B4BE5"/>
    <w:multiLevelType w:val="multilevel"/>
    <w:tmpl w:val="C95C85F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740361FD"/>
    <w:multiLevelType w:val="multilevel"/>
    <w:tmpl w:val="EF529DE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doNotTrackMoves/>
  <w:defaultTabStop w:val="708"/>
  <w:hyphenationZone w:val="283"/>
  <w:drawingGridHorizontalSpacing w:val="360"/>
  <w:drawingGridVerticalSpacing w:val="360"/>
  <w:displayHorizontalDrawingGridEvery w:val="0"/>
  <w:displayVerticalDrawingGridEvery w:val="0"/>
  <w:characterSpacingControl w:val="doNotCompress"/>
  <w:savePreviewPicture/>
  <w:compat>
    <w:doNotAutofitConstrainedTables/>
    <w:splitPgBreakAndParaMark/>
    <w:doNotVertAlignCellWithSp/>
    <w:doNotBreakConstrainedForcedTable/>
    <w:useAnsiKerningPairs/>
    <w:cachedColBalance/>
  </w:compat>
  <w:rsids>
    <w:rsidRoot w:val="00F4158C"/>
    <w:rsid w:val="00897237"/>
    <w:rsid w:val="00C01AFC"/>
    <w:rsid w:val="00E50751"/>
    <w:rsid w:val="00F4158C"/>
  </w:rsids>
  <m:mathPr>
    <m:mathFont m:val="Wingdings 2"/>
    <m:brkBin m:val="before"/>
    <m:brkBinSub m:val="--"/>
    <m:smallFrac m:val="off"/>
    <m:dispDef m:val="off"/>
    <m:lMargin m:val="0"/>
    <m:rMargin m:val="0"/>
    <m:wrapRight/>
    <m:intLim m:val="subSup"/>
    <m:naryLim m:val="subSup"/>
  </m:mathPr>
  <w:themeFontLang w:val="it-I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4"/>
        <w:szCs w:val="24"/>
        <w:lang w:val="it-IT"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 List" w:uiPriority="0"/>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e">
    <w:name w:val="Normal"/>
    <w:qFormat/>
    <w:rsid w:val="002B2DEC"/>
  </w:style>
  <w:style w:type="paragraph" w:styleId="Titolo1">
    <w:name w:val="heading 1"/>
    <w:basedOn w:val="Normale"/>
    <w:link w:val="Titolo1Carattere"/>
    <w:uiPriority w:val="9"/>
    <w:rsid w:val="00F4158C"/>
    <w:pPr>
      <w:spacing w:beforeLines="1" w:afterLines="1"/>
      <w:outlineLvl w:val="0"/>
    </w:pPr>
    <w:rPr>
      <w:rFonts w:ascii="Times" w:hAnsi="Times"/>
      <w:b/>
      <w:kern w:val="36"/>
      <w:sz w:val="48"/>
      <w:szCs w:val="20"/>
      <w:lang w:eastAsia="it-IT"/>
    </w:rPr>
  </w:style>
  <w:style w:type="paragraph" w:styleId="Titolo2">
    <w:name w:val="heading 2"/>
    <w:basedOn w:val="Normale"/>
    <w:link w:val="Titolo2Carattere"/>
    <w:uiPriority w:val="9"/>
    <w:rsid w:val="00F4158C"/>
    <w:pPr>
      <w:spacing w:beforeLines="1" w:afterLines="1"/>
      <w:outlineLvl w:val="1"/>
    </w:pPr>
    <w:rPr>
      <w:rFonts w:ascii="Times" w:hAnsi="Times"/>
      <w:b/>
      <w:sz w:val="36"/>
      <w:szCs w:val="20"/>
      <w:lang w:eastAsia="it-IT"/>
    </w:rPr>
  </w:style>
  <w:style w:type="paragraph" w:styleId="Titolo3">
    <w:name w:val="heading 3"/>
    <w:basedOn w:val="Normale"/>
    <w:link w:val="Titolo3Carattere"/>
    <w:uiPriority w:val="9"/>
    <w:rsid w:val="00F4158C"/>
    <w:pPr>
      <w:spacing w:beforeLines="1" w:afterLines="1"/>
      <w:outlineLvl w:val="2"/>
    </w:pPr>
    <w:rPr>
      <w:rFonts w:ascii="Times" w:hAnsi="Times"/>
      <w:b/>
      <w:sz w:val="27"/>
      <w:szCs w:val="20"/>
      <w:lang w:eastAsia="it-IT"/>
    </w:rPr>
  </w:style>
  <w:style w:type="character" w:default="1" w:styleId="Caratterepredefinitoparagrafo">
    <w:name w:val="Default Paragraph Font"/>
    <w:semiHidden/>
    <w:unhideWhenUsed/>
  </w:style>
  <w:style w:type="table" w:default="1" w:styleId="Tabellanormale">
    <w:name w:val="Normal Table"/>
    <w:semiHidden/>
    <w:unhideWhenUsed/>
    <w:qFormat/>
    <w:tblPr>
      <w:tblInd w:w="0" w:type="dxa"/>
      <w:tblCellMar>
        <w:top w:w="0" w:type="dxa"/>
        <w:left w:w="108" w:type="dxa"/>
        <w:bottom w:w="0" w:type="dxa"/>
        <w:right w:w="108" w:type="dxa"/>
      </w:tblCellMar>
    </w:tblPr>
  </w:style>
  <w:style w:type="numbering" w:default="1" w:styleId="Nessunelenco">
    <w:name w:val="No List"/>
    <w:semiHidden/>
    <w:unhideWhenUsed/>
  </w:style>
  <w:style w:type="character" w:customStyle="1" w:styleId="Titolo1Carattere">
    <w:name w:val="Titolo 1 Carattere"/>
    <w:basedOn w:val="Caratterepredefinitoparagrafo"/>
    <w:link w:val="Titolo1"/>
    <w:uiPriority w:val="9"/>
    <w:rsid w:val="00F4158C"/>
    <w:rPr>
      <w:rFonts w:ascii="Times" w:hAnsi="Times"/>
      <w:b/>
      <w:kern w:val="36"/>
      <w:sz w:val="48"/>
      <w:szCs w:val="20"/>
      <w:lang w:eastAsia="it-IT"/>
    </w:rPr>
  </w:style>
  <w:style w:type="character" w:customStyle="1" w:styleId="Titolo2Carattere">
    <w:name w:val="Titolo 2 Carattere"/>
    <w:basedOn w:val="Caratterepredefinitoparagrafo"/>
    <w:link w:val="Titolo2"/>
    <w:uiPriority w:val="9"/>
    <w:rsid w:val="00F4158C"/>
    <w:rPr>
      <w:rFonts w:ascii="Times" w:hAnsi="Times"/>
      <w:b/>
      <w:sz w:val="36"/>
      <w:szCs w:val="20"/>
      <w:lang w:eastAsia="it-IT"/>
    </w:rPr>
  </w:style>
  <w:style w:type="character" w:customStyle="1" w:styleId="Titolo3Carattere">
    <w:name w:val="Titolo 3 Carattere"/>
    <w:basedOn w:val="Caratterepredefinitoparagrafo"/>
    <w:link w:val="Titolo3"/>
    <w:uiPriority w:val="9"/>
    <w:rsid w:val="00F4158C"/>
    <w:rPr>
      <w:rFonts w:ascii="Times" w:hAnsi="Times"/>
      <w:b/>
      <w:sz w:val="27"/>
      <w:szCs w:val="20"/>
      <w:lang w:eastAsia="it-IT"/>
    </w:rPr>
  </w:style>
  <w:style w:type="paragraph" w:customStyle="1" w:styleId="comma">
    <w:name w:val="comma"/>
    <w:basedOn w:val="Normale"/>
    <w:rsid w:val="00F4158C"/>
    <w:pPr>
      <w:spacing w:beforeLines="1" w:afterLines="1"/>
    </w:pPr>
    <w:rPr>
      <w:rFonts w:ascii="Times" w:hAnsi="Times"/>
      <w:sz w:val="20"/>
      <w:szCs w:val="20"/>
      <w:lang w:eastAsia="it-IT"/>
    </w:rPr>
  </w:style>
  <w:style w:type="character" w:styleId="Collegamentoipertestuale">
    <w:name w:val="Hyperlink"/>
    <w:basedOn w:val="Caratterepredefinitoparagrafo"/>
    <w:uiPriority w:val="99"/>
    <w:rsid w:val="00F4158C"/>
    <w:rPr>
      <w:color w:val="0000FF"/>
      <w:u w:val="single"/>
    </w:rPr>
  </w:style>
  <w:style w:type="character" w:styleId="Collegamentovisitato">
    <w:name w:val="FollowedHyperlink"/>
    <w:basedOn w:val="Caratterepredefinitoparagrafo"/>
    <w:uiPriority w:val="99"/>
    <w:rsid w:val="00E50751"/>
    <w:rPr>
      <w:color w:val="0000FF"/>
      <w:u w:val="single"/>
    </w:rPr>
  </w:style>
</w:styles>
</file>

<file path=word/webSettings.xml><?xml version="1.0" encoding="utf-8"?>
<w:webSettings xmlns:r="http://schemas.openxmlformats.org/officeDocument/2006/relationships" xmlns:w="http://schemas.openxmlformats.org/wordprocessingml/2006/main">
  <w:divs>
    <w:div w:id="197204444">
      <w:bodyDiv w:val="1"/>
      <w:marLeft w:val="0"/>
      <w:marRight w:val="0"/>
      <w:marTop w:val="0"/>
      <w:marBottom w:val="0"/>
      <w:divBdr>
        <w:top w:val="none" w:sz="0" w:space="0" w:color="auto"/>
        <w:left w:val="none" w:sz="0" w:space="0" w:color="auto"/>
        <w:bottom w:val="none" w:sz="0" w:space="0" w:color="auto"/>
        <w:right w:val="none" w:sz="0" w:space="0" w:color="auto"/>
      </w:divBdr>
      <w:divsChild>
        <w:div w:id="683441661">
          <w:marLeft w:val="0"/>
          <w:marRight w:val="0"/>
          <w:marTop w:val="0"/>
          <w:marBottom w:val="0"/>
          <w:divBdr>
            <w:top w:val="none" w:sz="0" w:space="0" w:color="auto"/>
            <w:left w:val="none" w:sz="0" w:space="0" w:color="auto"/>
            <w:bottom w:val="none" w:sz="0" w:space="0" w:color="auto"/>
            <w:right w:val="none" w:sz="0" w:space="0" w:color="auto"/>
          </w:divBdr>
        </w:div>
      </w:divsChild>
    </w:div>
    <w:div w:id="588656480">
      <w:bodyDiv w:val="1"/>
      <w:marLeft w:val="0"/>
      <w:marRight w:val="0"/>
      <w:marTop w:val="0"/>
      <w:marBottom w:val="0"/>
      <w:divBdr>
        <w:top w:val="none" w:sz="0" w:space="0" w:color="auto"/>
        <w:left w:val="none" w:sz="0" w:space="0" w:color="auto"/>
        <w:bottom w:val="none" w:sz="0" w:space="0" w:color="auto"/>
        <w:right w:val="none" w:sz="0" w:space="0" w:color="auto"/>
      </w:divBdr>
      <w:divsChild>
        <w:div w:id="1852572486">
          <w:marLeft w:val="0"/>
          <w:marRight w:val="0"/>
          <w:marTop w:val="0"/>
          <w:marBottom w:val="0"/>
          <w:divBdr>
            <w:top w:val="none" w:sz="0" w:space="0" w:color="auto"/>
            <w:left w:val="none" w:sz="0" w:space="0" w:color="auto"/>
            <w:bottom w:val="none" w:sz="0" w:space="0" w:color="auto"/>
            <w:right w:val="none" w:sz="0" w:space="0" w:color="auto"/>
          </w:divBdr>
          <w:divsChild>
            <w:div w:id="2049405362">
              <w:marLeft w:val="0"/>
              <w:marRight w:val="0"/>
              <w:marTop w:val="0"/>
              <w:marBottom w:val="0"/>
              <w:divBdr>
                <w:top w:val="none" w:sz="0" w:space="0" w:color="auto"/>
                <w:left w:val="none" w:sz="0" w:space="0" w:color="auto"/>
                <w:bottom w:val="none" w:sz="0" w:space="0" w:color="auto"/>
                <w:right w:val="none" w:sz="0" w:space="0" w:color="auto"/>
              </w:divBdr>
            </w:div>
            <w:div w:id="1924025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4887896">
      <w:bodyDiv w:val="1"/>
      <w:marLeft w:val="0"/>
      <w:marRight w:val="0"/>
      <w:marTop w:val="0"/>
      <w:marBottom w:val="0"/>
      <w:divBdr>
        <w:top w:val="none" w:sz="0" w:space="0" w:color="auto"/>
        <w:left w:val="none" w:sz="0" w:space="0" w:color="auto"/>
        <w:bottom w:val="none" w:sz="0" w:space="0" w:color="auto"/>
        <w:right w:val="none" w:sz="0" w:space="0" w:color="auto"/>
      </w:divBdr>
      <w:divsChild>
        <w:div w:id="2102876287">
          <w:marLeft w:val="0"/>
          <w:marRight w:val="0"/>
          <w:marTop w:val="0"/>
          <w:marBottom w:val="0"/>
          <w:divBdr>
            <w:top w:val="none" w:sz="0" w:space="0" w:color="auto"/>
            <w:left w:val="none" w:sz="0" w:space="0" w:color="auto"/>
            <w:bottom w:val="none" w:sz="0" w:space="0" w:color="auto"/>
            <w:right w:val="none" w:sz="0" w:space="0" w:color="auto"/>
          </w:divBdr>
        </w:div>
      </w:divsChild>
    </w:div>
    <w:div w:id="840051014">
      <w:bodyDiv w:val="1"/>
      <w:marLeft w:val="0"/>
      <w:marRight w:val="0"/>
      <w:marTop w:val="0"/>
      <w:marBottom w:val="0"/>
      <w:divBdr>
        <w:top w:val="none" w:sz="0" w:space="0" w:color="auto"/>
        <w:left w:val="none" w:sz="0" w:space="0" w:color="auto"/>
        <w:bottom w:val="none" w:sz="0" w:space="0" w:color="auto"/>
        <w:right w:val="none" w:sz="0" w:space="0" w:color="auto"/>
      </w:divBdr>
      <w:divsChild>
        <w:div w:id="1915890305">
          <w:marLeft w:val="0"/>
          <w:marRight w:val="0"/>
          <w:marTop w:val="0"/>
          <w:marBottom w:val="0"/>
          <w:divBdr>
            <w:top w:val="none" w:sz="0" w:space="0" w:color="auto"/>
            <w:left w:val="none" w:sz="0" w:space="0" w:color="auto"/>
            <w:bottom w:val="none" w:sz="0" w:space="0" w:color="auto"/>
            <w:right w:val="none" w:sz="0" w:space="0" w:color="auto"/>
          </w:divBdr>
          <w:divsChild>
            <w:div w:id="1334264592">
              <w:marLeft w:val="0"/>
              <w:marRight w:val="0"/>
              <w:marTop w:val="0"/>
              <w:marBottom w:val="0"/>
              <w:divBdr>
                <w:top w:val="none" w:sz="0" w:space="0" w:color="auto"/>
                <w:left w:val="none" w:sz="0" w:space="0" w:color="auto"/>
                <w:bottom w:val="none" w:sz="0" w:space="0" w:color="auto"/>
                <w:right w:val="none" w:sz="0" w:space="0" w:color="auto"/>
              </w:divBdr>
            </w:div>
            <w:div w:id="13963194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70328196">
      <w:bodyDiv w:val="1"/>
      <w:marLeft w:val="0"/>
      <w:marRight w:val="0"/>
      <w:marTop w:val="0"/>
      <w:marBottom w:val="0"/>
      <w:divBdr>
        <w:top w:val="none" w:sz="0" w:space="0" w:color="auto"/>
        <w:left w:val="none" w:sz="0" w:space="0" w:color="auto"/>
        <w:bottom w:val="none" w:sz="0" w:space="0" w:color="auto"/>
        <w:right w:val="none" w:sz="0" w:space="0" w:color="auto"/>
      </w:divBdr>
      <w:divsChild>
        <w:div w:id="2019846012">
          <w:marLeft w:val="0"/>
          <w:marRight w:val="0"/>
          <w:marTop w:val="0"/>
          <w:marBottom w:val="0"/>
          <w:divBdr>
            <w:top w:val="none" w:sz="0" w:space="0" w:color="auto"/>
            <w:left w:val="none" w:sz="0" w:space="0" w:color="auto"/>
            <w:bottom w:val="none" w:sz="0" w:space="0" w:color="auto"/>
            <w:right w:val="none" w:sz="0" w:space="0" w:color="auto"/>
          </w:divBdr>
          <w:divsChild>
            <w:div w:id="600801087">
              <w:marLeft w:val="0"/>
              <w:marRight w:val="0"/>
              <w:marTop w:val="0"/>
              <w:marBottom w:val="0"/>
              <w:divBdr>
                <w:top w:val="none" w:sz="0" w:space="0" w:color="auto"/>
                <w:left w:val="none" w:sz="0" w:space="0" w:color="auto"/>
                <w:bottom w:val="none" w:sz="0" w:space="0" w:color="auto"/>
                <w:right w:val="none" w:sz="0" w:space="0" w:color="auto"/>
              </w:divBdr>
            </w:div>
            <w:div w:id="1203516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51137085">
      <w:bodyDiv w:val="1"/>
      <w:marLeft w:val="0"/>
      <w:marRight w:val="0"/>
      <w:marTop w:val="0"/>
      <w:marBottom w:val="0"/>
      <w:divBdr>
        <w:top w:val="none" w:sz="0" w:space="0" w:color="auto"/>
        <w:left w:val="none" w:sz="0" w:space="0" w:color="auto"/>
        <w:bottom w:val="none" w:sz="0" w:space="0" w:color="auto"/>
        <w:right w:val="none" w:sz="0" w:space="0" w:color="auto"/>
      </w:divBdr>
      <w:divsChild>
        <w:div w:id="95055996">
          <w:marLeft w:val="0"/>
          <w:marRight w:val="0"/>
          <w:marTop w:val="0"/>
          <w:marBottom w:val="0"/>
          <w:divBdr>
            <w:top w:val="none" w:sz="0" w:space="0" w:color="auto"/>
            <w:left w:val="none" w:sz="0" w:space="0" w:color="auto"/>
            <w:bottom w:val="none" w:sz="0" w:space="0" w:color="auto"/>
            <w:right w:val="none" w:sz="0" w:space="0" w:color="auto"/>
          </w:divBdr>
          <w:divsChild>
            <w:div w:id="1240411037">
              <w:marLeft w:val="0"/>
              <w:marRight w:val="0"/>
              <w:marTop w:val="0"/>
              <w:marBottom w:val="0"/>
              <w:divBdr>
                <w:top w:val="none" w:sz="0" w:space="0" w:color="auto"/>
                <w:left w:val="none" w:sz="0" w:space="0" w:color="auto"/>
                <w:bottom w:val="none" w:sz="0" w:space="0" w:color="auto"/>
                <w:right w:val="none" w:sz="0" w:space="0" w:color="auto"/>
              </w:divBdr>
            </w:div>
            <w:div w:id="11823602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5495946">
      <w:bodyDiv w:val="1"/>
      <w:marLeft w:val="0"/>
      <w:marRight w:val="0"/>
      <w:marTop w:val="0"/>
      <w:marBottom w:val="0"/>
      <w:divBdr>
        <w:top w:val="none" w:sz="0" w:space="0" w:color="auto"/>
        <w:left w:val="none" w:sz="0" w:space="0" w:color="auto"/>
        <w:bottom w:val="none" w:sz="0" w:space="0" w:color="auto"/>
        <w:right w:val="none" w:sz="0" w:space="0" w:color="auto"/>
      </w:divBdr>
      <w:divsChild>
        <w:div w:id="683678241">
          <w:marLeft w:val="0"/>
          <w:marRight w:val="0"/>
          <w:marTop w:val="0"/>
          <w:marBottom w:val="0"/>
          <w:divBdr>
            <w:top w:val="none" w:sz="0" w:space="0" w:color="auto"/>
            <w:left w:val="none" w:sz="0" w:space="0" w:color="auto"/>
            <w:bottom w:val="none" w:sz="0" w:space="0" w:color="auto"/>
            <w:right w:val="none" w:sz="0" w:space="0" w:color="auto"/>
          </w:divBdr>
        </w:div>
      </w:divsChild>
    </w:div>
    <w:div w:id="2094354320">
      <w:bodyDiv w:val="1"/>
      <w:marLeft w:val="0"/>
      <w:marRight w:val="0"/>
      <w:marTop w:val="0"/>
      <w:marBottom w:val="0"/>
      <w:divBdr>
        <w:top w:val="none" w:sz="0" w:space="0" w:color="auto"/>
        <w:left w:val="none" w:sz="0" w:space="0" w:color="auto"/>
        <w:bottom w:val="none" w:sz="0" w:space="0" w:color="auto"/>
        <w:right w:val="none" w:sz="0" w:space="0" w:color="auto"/>
      </w:divBdr>
      <w:divsChild>
        <w:div w:id="1215241371">
          <w:marLeft w:val="0"/>
          <w:marRight w:val="0"/>
          <w:marTop w:val="0"/>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13" Type="http://schemas.openxmlformats.org/officeDocument/2006/relationships/hyperlink" Target="https://www.brocardi.it/codice-di-procedura-penale/libro-quarto/titolo-i/capo-i/art277.html" TargetMode="External"/><Relationship Id="rId14" Type="http://schemas.openxmlformats.org/officeDocument/2006/relationships/hyperlink" Target="https://www.brocardi.it/legge-ordinamento-penitenziario/titolo-i/capo-vi/art54.html" TargetMode="External"/><Relationship Id="rId15" Type="http://schemas.openxmlformats.org/officeDocument/2006/relationships/hyperlink" Target="https://www.brocardi.it/dizionario/4466.html" TargetMode="External"/><Relationship Id="rId16" Type="http://schemas.openxmlformats.org/officeDocument/2006/relationships/hyperlink" Target="https://www.brocardi.it/legge-ordinamento-penitenziario/titolo-ii/capo-ii/art69bis.html" TargetMode="External"/><Relationship Id="rId17" Type="http://schemas.openxmlformats.org/officeDocument/2006/relationships/hyperlink" Target="https://www.brocardi.it/legge-ordinamento-penitenziario/titolo-i/capo-i/art4bis.html" TargetMode="External"/><Relationship Id="rId18" Type="http://schemas.openxmlformats.org/officeDocument/2006/relationships/hyperlink" Target="https://www.brocardi.it/codice-di-procedura-penale/libro-decimo/titolo-ii/art656.html" TargetMode="External"/><Relationship Id="rId19" Type="http://schemas.openxmlformats.org/officeDocument/2006/relationships/hyperlink" Target="https://www.brocardi.it/codice-di-procedura-penale/libro-decimo/titolo-ii/art656.html" TargetMode="External"/><Relationship Id="rId50" Type="http://schemas.openxmlformats.org/officeDocument/2006/relationships/hyperlink" Target="https://www.brocardi.it/codice-di-procedura-penale/libro-decimo/titolo-ii/art656.html" TargetMode="External"/><Relationship Id="rId51" Type="http://schemas.openxmlformats.org/officeDocument/2006/relationships/hyperlink" Target="https://www.brocardi.it/codice-di-procedura-penale/libro-primo/titolo-ii/art51.html" TargetMode="External"/><Relationship Id="rId52" Type="http://schemas.openxmlformats.org/officeDocument/2006/relationships/hyperlink" Target="https://www.brocardi.it/legge-ordinamento-penitenziario/titolo-i/capo-i/art4bis.html" TargetMode="External"/><Relationship Id="rId53" Type="http://schemas.openxmlformats.org/officeDocument/2006/relationships/hyperlink" Target="https://www.brocardi.it/codice-di-procedura-penale/libro-decimo/titolo-ii/art656.html" TargetMode="External"/><Relationship Id="rId54" Type="http://schemas.openxmlformats.org/officeDocument/2006/relationships/hyperlink" Target="https://www.brocardi.it/codice-di-procedura-penale/libro-decimo/titolo-ii/art656.html" TargetMode="External"/><Relationship Id="rId55" Type="http://schemas.openxmlformats.org/officeDocument/2006/relationships/hyperlink" Target="https://www.brocardi.it/legge-ordinamento-penitenziario/titolo-i/capo-vi/art47ter.html" TargetMode="External"/><Relationship Id="rId56" Type="http://schemas.openxmlformats.org/officeDocument/2006/relationships/hyperlink" Target="https://www.brocardi.it/codice-di-procedura-penale/libro-decimo/titolo-ii/art656.html" TargetMode="External"/><Relationship Id="rId57" Type="http://schemas.openxmlformats.org/officeDocument/2006/relationships/hyperlink" Target="https://www.brocardi.it/legge-ordinamento-penitenziario/titolo-i/capo-vi/art54.html" TargetMode="External"/><Relationship Id="rId58" Type="http://schemas.openxmlformats.org/officeDocument/2006/relationships/hyperlink" Target="https://www.brocardi.it/codice-di-procedura-penale/libro-decimo/titolo-ii/art656.html" TargetMode="External"/><Relationship Id="rId59" Type="http://schemas.openxmlformats.org/officeDocument/2006/relationships/fontTable" Target="fontTable.xml"/><Relationship Id="rId40" Type="http://schemas.openxmlformats.org/officeDocument/2006/relationships/hyperlink" Target="https://www.brocardi.it/legge-ordinamento-penitenziario/titolo-i/capo-i/art4bis.html" TargetMode="External"/><Relationship Id="rId41" Type="http://schemas.openxmlformats.org/officeDocument/2006/relationships/hyperlink" Target="https://www.brocardi.it/codice-penale/libro-secondo/titolo-vi/capo-i/art423bis.html" TargetMode="External"/><Relationship Id="rId42" Type="http://schemas.openxmlformats.org/officeDocument/2006/relationships/hyperlink" Target="https://www.brocardi.it/codice-penale/libro-secondo/titolo-xi/capo-iv/art572.html" TargetMode="External"/><Relationship Id="rId43" Type="http://schemas.openxmlformats.org/officeDocument/2006/relationships/hyperlink" Target="https://www.brocardi.it/codice-penale/libro-secondo/titolo-xii/capo-iii/sezione-iii/art612bis.html" TargetMode="External"/><Relationship Id="rId44" Type="http://schemas.openxmlformats.org/officeDocument/2006/relationships/hyperlink" Target="https://www.brocardi.it/codice-penale/libro-secondo/titolo-xiii/capo-i/art624bis.html" TargetMode="External"/><Relationship Id="rId45" Type="http://schemas.openxmlformats.org/officeDocument/2006/relationships/hyperlink" Target="https://www.brocardi.it/testo-unico-stupefacenti/titolo-viii/capo-ii/art89.html" TargetMode="External"/><Relationship Id="rId46" Type="http://schemas.openxmlformats.org/officeDocument/2006/relationships/hyperlink" Target="https://www.brocardi.it/codice-di-procedura-penale/libro-decimo/titolo-ii/art656.html" TargetMode="External"/><Relationship Id="rId47" Type="http://schemas.openxmlformats.org/officeDocument/2006/relationships/hyperlink" Target="https://www.brocardi.it/codice-di-procedura-penale/libro-decimo/titolo-ii/art656.html" TargetMode="External"/><Relationship Id="rId48" Type="http://schemas.openxmlformats.org/officeDocument/2006/relationships/hyperlink" Target="https://www.brocardi.it/codice-di-procedura-penale/libro-decimo/titolo-ii/art656.html" TargetMode="External"/><Relationship Id="rId49" Type="http://schemas.openxmlformats.org/officeDocument/2006/relationships/hyperlink" Target="https://www.brocardi.it/codice-penale/libro-primo/titolo-iv/capo-ii/art99.html" TargetMode="External"/><Relationship Id="rId1" Type="http://schemas.openxmlformats.org/officeDocument/2006/relationships/numbering" Target="numbering.xml"/><Relationship Id="rId2" Type="http://schemas.openxmlformats.org/officeDocument/2006/relationships/styles" Target="style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hyperlink" Target="https://www.brocardi.it/dizionario/3759.html" TargetMode="External"/><Relationship Id="rId6" Type="http://schemas.openxmlformats.org/officeDocument/2006/relationships/hyperlink" Target="https://www.brocardi.it/dizionario/5519.html" TargetMode="External"/><Relationship Id="rId7" Type="http://schemas.openxmlformats.org/officeDocument/2006/relationships/hyperlink" Target="https://www.brocardi.it/dizionario/3695.html" TargetMode="External"/><Relationship Id="rId8" Type="http://schemas.openxmlformats.org/officeDocument/2006/relationships/hyperlink" Target="https://www.brocardi.it/codice-di-procedura-penale/libro-decimo/titolo-ii/art656.html" TargetMode="External"/><Relationship Id="rId9" Type="http://schemas.openxmlformats.org/officeDocument/2006/relationships/hyperlink" Target="https://www.brocardi.it/codice-di-procedura-penale/libro-decimo/titolo-ii/art656.html" TargetMode="External"/><Relationship Id="rId30" Type="http://schemas.openxmlformats.org/officeDocument/2006/relationships/hyperlink" Target="https://www.brocardi.it/testo-unico-stupefacenti/titolo-viii/capo-ii/art90.html" TargetMode="External"/><Relationship Id="rId31" Type="http://schemas.openxmlformats.org/officeDocument/2006/relationships/hyperlink" Target="https://www.brocardi.it/codice-di-procedura-penale/libro-decimo/titolo-ii/art656.html" TargetMode="External"/><Relationship Id="rId32" Type="http://schemas.openxmlformats.org/officeDocument/2006/relationships/hyperlink" Target="https://www.brocardi.it/codice-di-procedura-penale/libro-decimo/titolo-ii/art656.html" TargetMode="External"/><Relationship Id="rId33" Type="http://schemas.openxmlformats.org/officeDocument/2006/relationships/hyperlink" Target="https://www.brocardi.it/codice-penale/libro-terzo/titolo-i/capo-i/sezione-i/art666.html" TargetMode="External"/><Relationship Id="rId34" Type="http://schemas.openxmlformats.org/officeDocument/2006/relationships/hyperlink" Target="https://www.brocardi.it/codice-di-procedura-penale/libro-decimo/titolo-iii/capo-i/art666.html" TargetMode="External"/><Relationship Id="rId35" Type="http://schemas.openxmlformats.org/officeDocument/2006/relationships/hyperlink" Target="https://www.brocardi.it/codice-di-procedura-penale/libro-decimo/titolo-ii/art656.html" TargetMode="External"/><Relationship Id="rId36" Type="http://schemas.openxmlformats.org/officeDocument/2006/relationships/hyperlink" Target="https://www.brocardi.it/testo-unico-stupefacenti/titolo-viii/capo-ii/art90.html" TargetMode="External"/><Relationship Id="rId37" Type="http://schemas.openxmlformats.org/officeDocument/2006/relationships/hyperlink" Target="https://www.brocardi.it/testo-unico-stupefacenti/titolo-viii/capo-ii/art90.html" TargetMode="External"/><Relationship Id="rId38" Type="http://schemas.openxmlformats.org/officeDocument/2006/relationships/hyperlink" Target="https://www.brocardi.it/testo-unico-stupefacenti/titolo-viii/capo-ii/art94.html" TargetMode="External"/><Relationship Id="rId39" Type="http://schemas.openxmlformats.org/officeDocument/2006/relationships/hyperlink" Target="https://www.brocardi.it/codice-di-procedura-penale/libro-decimo/titolo-ii/art656.html" TargetMode="External"/><Relationship Id="rId20" Type="http://schemas.openxmlformats.org/officeDocument/2006/relationships/hyperlink" Target="https://www.brocardi.it/codice-di-procedura-penale/libro-decimo/titolo-ii/art656.html" TargetMode="External"/><Relationship Id="rId21" Type="http://schemas.openxmlformats.org/officeDocument/2006/relationships/hyperlink" Target="https://www.brocardi.it/legge-ordinamento-penitenziario/titolo-i/capo-vi/art47ter.html" TargetMode="External"/><Relationship Id="rId22" Type="http://schemas.openxmlformats.org/officeDocument/2006/relationships/hyperlink" Target="https://www.brocardi.it/testo-unico-stupefacenti/titolo-viii/capo-ii/art90.html" TargetMode="External"/><Relationship Id="rId23" Type="http://schemas.openxmlformats.org/officeDocument/2006/relationships/hyperlink" Target="https://www.brocardi.it/testo-unico-stupefacenti/titolo-viii/capo-ii/art94.html" TargetMode="External"/><Relationship Id="rId24" Type="http://schemas.openxmlformats.org/officeDocument/2006/relationships/hyperlink" Target="https://www.brocardi.it/dizionario/5779.html" TargetMode="External"/><Relationship Id="rId25" Type="http://schemas.openxmlformats.org/officeDocument/2006/relationships/hyperlink" Target="https://www.brocardi.it/legge-ordinamento-penitenziario/titolo-i/capo-vi/art47.html" TargetMode="External"/><Relationship Id="rId26" Type="http://schemas.openxmlformats.org/officeDocument/2006/relationships/hyperlink" Target="https://www.brocardi.it/legge-ordinamento-penitenziario/titolo-i/capo-vi/art47ter.html" TargetMode="External"/><Relationship Id="rId27" Type="http://schemas.openxmlformats.org/officeDocument/2006/relationships/hyperlink" Target="https://www.brocardi.it/legge-ordinamento-penitenziario/titolo-i/capo-vi/art50.html" TargetMode="External"/><Relationship Id="rId28" Type="http://schemas.openxmlformats.org/officeDocument/2006/relationships/hyperlink" Target="https://www.brocardi.it/testo-unico-stupefacenti/titolo-viii/capo-ii/art94.html" TargetMode="External"/><Relationship Id="rId29" Type="http://schemas.openxmlformats.org/officeDocument/2006/relationships/hyperlink" Target="https://www.brocardi.it/testo-unico-stupefacenti/titolo-viii/capo-ii/art90.html" TargetMode="External"/><Relationship Id="rId60" Type="http://schemas.openxmlformats.org/officeDocument/2006/relationships/theme" Target="theme/theme1.xml"/><Relationship Id="rId10" Type="http://schemas.openxmlformats.org/officeDocument/2006/relationships/hyperlink" Target="https://www.brocardi.it/dizionario/5269.html" TargetMode="External"/><Relationship Id="rId11" Type="http://schemas.openxmlformats.org/officeDocument/2006/relationships/hyperlink" Target="https://www.brocardi.it/dizionario/5270.html" TargetMode="External"/><Relationship Id="rId12" Type="http://schemas.openxmlformats.org/officeDocument/2006/relationships/hyperlink" Target="https://www.brocardi.it/codice-di-procedura-penale/libro-decimo/titolo-ii/art656.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Pages>
  <Words>1596</Words>
  <Characters>9100</Characters>
  <Application>Microsoft Macintosh Word</Application>
  <DocSecurity>0</DocSecurity>
  <Lines>75</Lines>
  <Paragraphs>18</Paragraphs>
  <ScaleCrop>false</ScaleCrop>
  <Company>...</Company>
  <LinksUpToDate>false</LinksUpToDate>
  <CharactersWithSpaces>11175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Massimiliano Chiuchiolo</dc:creator>
  <cp:keywords/>
  <cp:lastModifiedBy>Massimiliano Chiuchiolo</cp:lastModifiedBy>
  <cp:revision>2</cp:revision>
  <dcterms:created xsi:type="dcterms:W3CDTF">2025-05-06T11:39:00Z</dcterms:created>
  <dcterms:modified xsi:type="dcterms:W3CDTF">2025-05-06T11:39:00Z</dcterms:modified>
</cp:coreProperties>
</file>